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jc w:val="center"/>
        <w:rPr>
          <w:rFonts w:ascii="Georgia" w:hAnsi="Georgia" w:cs="Georgia"/>
          <w:sz w:val="28"/>
          <w:szCs w:val="28"/>
        </w:rPr>
      </w:pPr>
      <w:r w:rsidRPr="00C74BD4">
        <w:rPr>
          <w:rFonts w:ascii="Georgia" w:hAnsi="Georgia" w:cs="Georgia"/>
          <w:sz w:val="28"/>
          <w:szCs w:val="28"/>
        </w:rPr>
        <w:t>“Numbers Don’t Lie”: A response to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jc w:val="center"/>
        <w:rPr>
          <w:rFonts w:ascii="Georgia" w:hAnsi="Georgia" w:cs="Georgia"/>
          <w:sz w:val="28"/>
          <w:szCs w:val="28"/>
        </w:rPr>
      </w:pPr>
      <w:proofErr w:type="gramStart"/>
      <w:r w:rsidRPr="00C74BD4">
        <w:rPr>
          <w:rFonts w:ascii="Georgia" w:hAnsi="Georgia" w:cs="Georgia"/>
          <w:sz w:val="28"/>
          <w:szCs w:val="28"/>
        </w:rPr>
        <w:t>the</w:t>
      </w:r>
      <w:proofErr w:type="gramEnd"/>
      <w:r w:rsidRPr="00C74BD4">
        <w:rPr>
          <w:rFonts w:ascii="Georgia" w:hAnsi="Georgia" w:cs="Georgia"/>
          <w:sz w:val="28"/>
          <w:szCs w:val="28"/>
        </w:rPr>
        <w:t xml:space="preserve"> Office of the Child Advocate’s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jc w:val="center"/>
        <w:rPr>
          <w:rFonts w:ascii="Georgia" w:hAnsi="Georgia" w:cs="Georgia"/>
          <w:sz w:val="28"/>
          <w:szCs w:val="28"/>
        </w:rPr>
      </w:pPr>
      <w:proofErr w:type="gramStart"/>
      <w:r w:rsidRPr="00C74BD4">
        <w:rPr>
          <w:rFonts w:ascii="Georgia" w:hAnsi="Georgia" w:cs="Georgia"/>
          <w:sz w:val="28"/>
          <w:szCs w:val="28"/>
        </w:rPr>
        <w:t>report</w:t>
      </w:r>
      <w:proofErr w:type="gramEnd"/>
      <w:r w:rsidRPr="00C74BD4">
        <w:rPr>
          <w:rFonts w:ascii="Georgia" w:hAnsi="Georgia" w:cs="Georgia"/>
          <w:sz w:val="28"/>
          <w:szCs w:val="28"/>
        </w:rPr>
        <w:t xml:space="preserve"> on homeschooling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i/>
          <w:iCs/>
          <w:sz w:val="27"/>
          <w:szCs w:val="27"/>
        </w:rPr>
      </w:pPr>
      <w:r w:rsidRPr="00C74BD4">
        <w:rPr>
          <w:rFonts w:ascii="Georgia" w:hAnsi="Georgia" w:cs="Georgia"/>
          <w:i/>
          <w:iCs/>
          <w:sz w:val="27"/>
          <w:szCs w:val="27"/>
        </w:rPr>
        <w:t xml:space="preserve">A message from Peter </w:t>
      </w:r>
      <w:proofErr w:type="spellStart"/>
      <w:r w:rsidRPr="00C74BD4">
        <w:rPr>
          <w:rFonts w:ascii="Georgia" w:hAnsi="Georgia" w:cs="Georgia"/>
          <w:i/>
          <w:iCs/>
          <w:sz w:val="27"/>
          <w:szCs w:val="27"/>
        </w:rPr>
        <w:t>Kamakawiwoole</w:t>
      </w:r>
      <w:proofErr w:type="spellEnd"/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r w:rsidRPr="00C74BD4">
        <w:rPr>
          <w:rFonts w:ascii="Georgia" w:hAnsi="Georgia" w:cs="Georgia"/>
          <w:sz w:val="27"/>
          <w:szCs w:val="27"/>
        </w:rPr>
        <w:t>Dear HSLDA Members and Friends,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r w:rsidRPr="00C74BD4">
        <w:rPr>
          <w:rFonts w:ascii="Georgia" w:hAnsi="Georgia" w:cs="Georgia"/>
          <w:sz w:val="27"/>
          <w:szCs w:val="27"/>
        </w:rPr>
        <w:t>Yesterday morning, the Office of the Child Advocate (OCA) published a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28-page supplemental report on homeschooling in Connecticut.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The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report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claims that from 2013 through 2016, 139 out of 380 students who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were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withdrawn from public school to be homeschooled also lived in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families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that were the subject of at least one accepted report for suspected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abuse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or neglect. The data is drawn from six of Connecticut’s 206 public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school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districts, five of which are unidentified.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r w:rsidRPr="00C74BD4">
        <w:rPr>
          <w:rFonts w:ascii="Georgia" w:hAnsi="Georgia" w:cs="Georgia"/>
          <w:sz w:val="27"/>
          <w:szCs w:val="27"/>
        </w:rPr>
        <w:t>Based on this data, the OCA concluded that “the absence of any specific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state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law or regulation regarding the withdrawal of students to be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homeschooled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has allowed certain children, some of whom may be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documented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victims of abuse or neglect or prior alleged victims of abuse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or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neglect, to be withdrawn from school without any plan for follow up or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assurances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that the child will receive any education at all.”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r w:rsidRPr="00C74BD4">
        <w:rPr>
          <w:rFonts w:ascii="Georgia" w:hAnsi="Georgia" w:cs="Georgia"/>
          <w:sz w:val="27"/>
          <w:szCs w:val="27"/>
        </w:rPr>
        <w:t>The problem with this argument is that the OCA’s report overstates its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findings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and their significance. The report does not show, as the Hartford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r w:rsidRPr="00C74BD4">
        <w:rPr>
          <w:rFonts w:ascii="Georgia" w:hAnsi="Georgia" w:cs="Georgia"/>
          <w:sz w:val="27"/>
          <w:szCs w:val="27"/>
        </w:rPr>
        <w:t>Courant’s editorial board suggested this morning, that “far too many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r w:rsidRPr="00C74BD4">
        <w:rPr>
          <w:rFonts w:ascii="Georgia" w:hAnsi="Georgia" w:cs="Georgia"/>
          <w:sz w:val="27"/>
          <w:szCs w:val="27"/>
        </w:rPr>
        <w:t>[</w:t>
      </w:r>
      <w:proofErr w:type="gramStart"/>
      <w:r w:rsidRPr="00C74BD4">
        <w:rPr>
          <w:rFonts w:ascii="Georgia" w:hAnsi="Georgia" w:cs="Georgia"/>
          <w:sz w:val="27"/>
          <w:szCs w:val="27"/>
        </w:rPr>
        <w:t>homeschooling</w:t>
      </w:r>
      <w:proofErr w:type="gramEnd"/>
      <w:r w:rsidRPr="00C74BD4">
        <w:rPr>
          <w:rFonts w:ascii="Georgia" w:hAnsi="Georgia" w:cs="Georgia"/>
          <w:sz w:val="27"/>
          <w:szCs w:val="27"/>
        </w:rPr>
        <w:t>] parents aren’t providing safe environments for quality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education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to happen.”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b/>
          <w:sz w:val="28"/>
          <w:szCs w:val="28"/>
        </w:rPr>
      </w:pPr>
      <w:r w:rsidRPr="00C74BD4">
        <w:rPr>
          <w:rFonts w:ascii="Georgia" w:hAnsi="Georgia" w:cs="Georgia"/>
          <w:b/>
          <w:sz w:val="28"/>
          <w:szCs w:val="28"/>
        </w:rPr>
        <w:t>“Accepted” is not “Substantiated”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r w:rsidRPr="00C74BD4">
        <w:rPr>
          <w:rFonts w:ascii="Georgia" w:hAnsi="Georgia" w:cs="Georgia"/>
          <w:sz w:val="27"/>
          <w:szCs w:val="27"/>
        </w:rPr>
        <w:t>The OCA claims that in six school districts over a three-year period, 139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out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of 380 homeschooled students (roughly one-third) “lived in families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that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had been the subject of a previous accepted report to DCF.” This, of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course</w:t>
      </w:r>
      <w:proofErr w:type="gramEnd"/>
      <w:r w:rsidRPr="00C74BD4">
        <w:rPr>
          <w:rFonts w:ascii="Georgia" w:hAnsi="Georgia" w:cs="Georgia"/>
          <w:sz w:val="27"/>
          <w:szCs w:val="27"/>
        </w:rPr>
        <w:t>, begs the question: what is an “accepted report”?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r w:rsidRPr="00C74BD4">
        <w:rPr>
          <w:rFonts w:ascii="Georgia" w:hAnsi="Georgia" w:cs="Georgia"/>
          <w:sz w:val="27"/>
          <w:szCs w:val="27"/>
        </w:rPr>
        <w:t>The report explains in a footnote that “accepted” reports are reports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which</w:t>
      </w:r>
      <w:proofErr w:type="gramEnd"/>
      <w:r w:rsidRPr="00C74BD4">
        <w:rPr>
          <w:rFonts w:ascii="Georgia" w:hAnsi="Georgia" w:cs="Georgia"/>
          <w:sz w:val="27"/>
          <w:szCs w:val="27"/>
        </w:rPr>
        <w:t>, if true, would rise to the level of abuse or neglect. Thus, an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allegation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that a child is being starved or a newborn is left alone at home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would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be “accepted” because both allegations, if true, would constitute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abuse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or neglect. Conversely, an allegation that a parent paints a child’s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toenails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purple or failed to file a notice of intent would not be “accepted,”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because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neither act constitutes abuse or neglect under Connecticut law.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r w:rsidRPr="00C74BD4">
        <w:rPr>
          <w:rFonts w:ascii="Georgia" w:hAnsi="Georgia" w:cs="Georgia"/>
          <w:sz w:val="27"/>
          <w:szCs w:val="27"/>
        </w:rPr>
        <w:t>“Accepted” reports can then be investigated by the Department of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Children and Families (DCF).</w:t>
      </w:r>
      <w:proofErr w:type="gramEnd"/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r w:rsidRPr="00C74BD4">
        <w:rPr>
          <w:rFonts w:ascii="Georgia" w:hAnsi="Georgia" w:cs="Georgia"/>
          <w:sz w:val="27"/>
          <w:szCs w:val="27"/>
        </w:rPr>
        <w:t>How many reports each year are “accepted”? The OCA’s report doesn’t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say</w:t>
      </w:r>
      <w:proofErr w:type="gramEnd"/>
      <w:r w:rsidRPr="00C74BD4">
        <w:rPr>
          <w:rFonts w:ascii="Georgia" w:hAnsi="Georgia" w:cs="Georgia"/>
          <w:sz w:val="27"/>
          <w:szCs w:val="27"/>
        </w:rPr>
        <w:t>, but according to state data compiled by the U.S. Department of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r w:rsidRPr="00C74BD4">
        <w:rPr>
          <w:rFonts w:ascii="Georgia" w:hAnsi="Georgia" w:cs="Georgia"/>
          <w:sz w:val="27"/>
          <w:szCs w:val="27"/>
        </w:rPr>
        <w:t>Health and Human Services, Connecticut received more than 40,000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reports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of child abuse and neglect in 2016. Of these, 55 percent—or more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than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22,000 “reports”—were screened out (not-accepted) because they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lastRenderedPageBreak/>
        <w:t>failed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to even allege abusive or neglectful conduct. And “accepted” reports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can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come from a number of sources, ranging from mandatory reporters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r w:rsidRPr="00C74BD4">
        <w:rPr>
          <w:rFonts w:ascii="Georgia" w:hAnsi="Georgia" w:cs="Georgia"/>
          <w:sz w:val="27"/>
          <w:szCs w:val="27"/>
        </w:rPr>
        <w:t>(</w:t>
      </w:r>
      <w:proofErr w:type="gramStart"/>
      <w:r w:rsidRPr="00C74BD4">
        <w:rPr>
          <w:rFonts w:ascii="Georgia" w:hAnsi="Georgia" w:cs="Georgia"/>
          <w:sz w:val="27"/>
          <w:szCs w:val="27"/>
        </w:rPr>
        <w:t>which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includes all school officials in Connecticut) to anonymous, false,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and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even malicious reports from people with a personal axe to grind.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r w:rsidRPr="00C74BD4">
        <w:rPr>
          <w:rFonts w:ascii="Georgia" w:hAnsi="Georgia" w:cs="Georgia"/>
          <w:sz w:val="27"/>
          <w:szCs w:val="27"/>
        </w:rPr>
        <w:t>The OCA report also fails to clarify that there is a fundamental difference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between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“</w:t>
      </w:r>
      <w:r w:rsidRPr="00C74BD4">
        <w:rPr>
          <w:rFonts w:ascii="Georgia" w:hAnsi="Georgia" w:cs="Georgia"/>
          <w:i/>
          <w:iCs/>
          <w:sz w:val="27"/>
          <w:szCs w:val="27"/>
        </w:rPr>
        <w:t>accepted</w:t>
      </w:r>
      <w:r w:rsidRPr="00C74BD4">
        <w:rPr>
          <w:rFonts w:ascii="Georgia" w:hAnsi="Georgia" w:cs="Georgia"/>
          <w:sz w:val="27"/>
          <w:szCs w:val="27"/>
        </w:rPr>
        <w:t>” reports (the allegation might be abuse or neglect, if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true</w:t>
      </w:r>
      <w:proofErr w:type="gramEnd"/>
      <w:r w:rsidRPr="00C74BD4">
        <w:rPr>
          <w:rFonts w:ascii="Georgia" w:hAnsi="Georgia" w:cs="Georgia"/>
          <w:sz w:val="27"/>
          <w:szCs w:val="27"/>
        </w:rPr>
        <w:t>) and “</w:t>
      </w:r>
      <w:r w:rsidRPr="00C74BD4">
        <w:rPr>
          <w:rFonts w:ascii="Georgia" w:hAnsi="Georgia" w:cs="Georgia"/>
          <w:i/>
          <w:iCs/>
          <w:sz w:val="27"/>
          <w:szCs w:val="27"/>
        </w:rPr>
        <w:t>substantiated</w:t>
      </w:r>
      <w:r w:rsidRPr="00C74BD4">
        <w:rPr>
          <w:rFonts w:ascii="Georgia" w:hAnsi="Georgia" w:cs="Georgia"/>
          <w:sz w:val="27"/>
          <w:szCs w:val="27"/>
        </w:rPr>
        <w:t>” reports (there is actual evidence to either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suspect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or conclude that the allegation is true). Yet outside of the six “case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examples</w:t>
      </w:r>
      <w:proofErr w:type="gramEnd"/>
      <w:r w:rsidRPr="00C74BD4">
        <w:rPr>
          <w:rFonts w:ascii="Georgia" w:hAnsi="Georgia" w:cs="Georgia"/>
          <w:sz w:val="27"/>
          <w:szCs w:val="27"/>
        </w:rPr>
        <w:t>,” the phrase “substantiation” appears only once in the OCA’s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report</w:t>
      </w:r>
      <w:proofErr w:type="gramEnd"/>
      <w:r w:rsidRPr="00C74BD4">
        <w:rPr>
          <w:rFonts w:ascii="Georgia" w:hAnsi="Georgia" w:cs="Georgia"/>
          <w:sz w:val="27"/>
          <w:szCs w:val="27"/>
        </w:rPr>
        <w:t>: at the top of page 7, which states that “17 children [of the 139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children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examined in the report] lived in families with 1 prior accepted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report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to DCF and where there was no substantiation for abuse/neglect.”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r w:rsidRPr="00C74BD4">
        <w:rPr>
          <w:rFonts w:ascii="Georgia" w:hAnsi="Georgia" w:cs="Georgia"/>
          <w:sz w:val="27"/>
          <w:szCs w:val="27"/>
        </w:rPr>
        <w:t xml:space="preserve">Every other reference to “reports” </w:t>
      </w:r>
      <w:proofErr w:type="gramStart"/>
      <w:r w:rsidRPr="00C74BD4">
        <w:rPr>
          <w:rFonts w:ascii="Georgia" w:hAnsi="Georgia" w:cs="Georgia"/>
          <w:sz w:val="27"/>
          <w:szCs w:val="27"/>
        </w:rPr>
        <w:t>are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to “accepted” reports, not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r w:rsidRPr="00C74BD4">
        <w:rPr>
          <w:rFonts w:ascii="Georgia" w:hAnsi="Georgia" w:cs="Georgia"/>
          <w:sz w:val="27"/>
          <w:szCs w:val="27"/>
        </w:rPr>
        <w:t>“</w:t>
      </w:r>
      <w:proofErr w:type="gramStart"/>
      <w:r w:rsidRPr="00C74BD4">
        <w:rPr>
          <w:rFonts w:ascii="Georgia" w:hAnsi="Georgia" w:cs="Georgia"/>
          <w:sz w:val="27"/>
          <w:szCs w:val="27"/>
        </w:rPr>
        <w:t>substantiated</w:t>
      </w:r>
      <w:proofErr w:type="gramEnd"/>
      <w:r w:rsidRPr="00C74BD4">
        <w:rPr>
          <w:rFonts w:ascii="Georgia" w:hAnsi="Georgia" w:cs="Georgia"/>
          <w:sz w:val="27"/>
          <w:szCs w:val="27"/>
        </w:rPr>
        <w:t>” reports. The OCA never specifies how many of these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reports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ultimately proved genuine, and how many were groundless.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r w:rsidRPr="00C74BD4">
        <w:rPr>
          <w:rFonts w:ascii="Georgia" w:hAnsi="Georgia" w:cs="Georgia"/>
          <w:sz w:val="27"/>
          <w:szCs w:val="27"/>
        </w:rPr>
        <w:t>Without this clarification, the OCA’s data does nothing to quantify the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actual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danger posed to homeschooled children. On the contrary, the data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shows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that the vast majority of “accepted” reports turn out to be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r w:rsidRPr="00C74BD4">
        <w:rPr>
          <w:rFonts w:ascii="Georgia" w:hAnsi="Georgia" w:cs="Georgia"/>
          <w:sz w:val="27"/>
          <w:szCs w:val="27"/>
        </w:rPr>
        <w:t>“</w:t>
      </w:r>
      <w:proofErr w:type="gramStart"/>
      <w:r w:rsidRPr="00C74BD4">
        <w:rPr>
          <w:rFonts w:ascii="Georgia" w:hAnsi="Georgia" w:cs="Georgia"/>
          <w:sz w:val="27"/>
          <w:szCs w:val="27"/>
        </w:rPr>
        <w:t>unsubstantiated</w:t>
      </w:r>
      <w:proofErr w:type="gramEnd"/>
      <w:r w:rsidRPr="00C74BD4">
        <w:rPr>
          <w:rFonts w:ascii="Georgia" w:hAnsi="Georgia" w:cs="Georgia"/>
          <w:sz w:val="27"/>
          <w:szCs w:val="27"/>
        </w:rPr>
        <w:t>.” According to the U.S. Department of Health, nearly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r w:rsidRPr="00C74BD4">
        <w:rPr>
          <w:rFonts w:ascii="Georgia" w:hAnsi="Georgia" w:cs="Georgia"/>
          <w:sz w:val="27"/>
          <w:szCs w:val="27"/>
        </w:rPr>
        <w:t>27,000 Connecticut children were investigated in 2016; more than 18,000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r w:rsidRPr="00C74BD4">
        <w:rPr>
          <w:rFonts w:ascii="Georgia" w:hAnsi="Georgia" w:cs="Georgia"/>
          <w:sz w:val="27"/>
          <w:szCs w:val="27"/>
        </w:rPr>
        <w:t xml:space="preserve">(68%) proved </w:t>
      </w:r>
      <w:r w:rsidRPr="00C74BD4">
        <w:rPr>
          <w:rFonts w:ascii="Georgia" w:hAnsi="Georgia" w:cs="Georgia"/>
          <w:i/>
          <w:iCs/>
          <w:sz w:val="27"/>
          <w:szCs w:val="27"/>
        </w:rPr>
        <w:t>unsubstantiated</w:t>
      </w:r>
      <w:r w:rsidRPr="00C74BD4">
        <w:rPr>
          <w:rFonts w:ascii="Georgia" w:hAnsi="Georgia" w:cs="Georgia"/>
          <w:sz w:val="27"/>
          <w:szCs w:val="27"/>
        </w:rPr>
        <w:t>.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r w:rsidRPr="00C74BD4">
        <w:rPr>
          <w:rFonts w:ascii="Georgia" w:hAnsi="Georgia" w:cs="Georgia"/>
          <w:sz w:val="27"/>
          <w:szCs w:val="27"/>
        </w:rPr>
        <w:t>The Courant’s editorial board opines that “far too many parents aren’t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providing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safe environments for quality education to happen.” But the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only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definitive finding of unsafe home environments in the OCA’s report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is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the isolated example in “Case Example (3),” which also happens to be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the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only case study in the report where allegations against the family were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found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to be substantiated. One isolated example does not establish a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trend</w:t>
      </w:r>
      <w:proofErr w:type="gramEnd"/>
      <w:r w:rsidRPr="00C74BD4">
        <w:rPr>
          <w:rFonts w:ascii="Georgia" w:hAnsi="Georgia" w:cs="Georgia"/>
          <w:sz w:val="27"/>
          <w:szCs w:val="27"/>
        </w:rPr>
        <w:t>.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r w:rsidRPr="00C74BD4">
        <w:rPr>
          <w:rFonts w:ascii="Georgia" w:hAnsi="Georgia" w:cs="Georgia"/>
          <w:sz w:val="27"/>
          <w:szCs w:val="27"/>
        </w:rPr>
        <w:t>The OCA’s report also doesn’t quantify the percentage of “accepted”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reports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for abuse as opposed to the percentage of “accepted” reports for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neglect</w:t>
      </w:r>
      <w:proofErr w:type="gramEnd"/>
      <w:r w:rsidRPr="00C74BD4">
        <w:rPr>
          <w:rFonts w:ascii="Georgia" w:hAnsi="Georgia" w:cs="Georgia"/>
          <w:sz w:val="27"/>
          <w:szCs w:val="27"/>
        </w:rPr>
        <w:t>, or even what forms of “abuse” or “neglect” were alleged. Again,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the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Department of Health’s data sheds light on the topic. In 2016, 84.9%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of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substantiated reports in Connecticut involved some form of neglect.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r w:rsidRPr="00C74BD4">
        <w:rPr>
          <w:rFonts w:ascii="Georgia" w:hAnsi="Georgia" w:cs="Georgia"/>
          <w:sz w:val="27"/>
          <w:szCs w:val="27"/>
        </w:rPr>
        <w:t>The percentage involving physical or sexual abuse were far smaller: just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r w:rsidRPr="00C74BD4">
        <w:rPr>
          <w:rFonts w:ascii="Georgia" w:hAnsi="Georgia" w:cs="Georgia"/>
          <w:sz w:val="27"/>
          <w:szCs w:val="27"/>
        </w:rPr>
        <w:t>6.7% and 4.7%, respectively. There is no data on the number of children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found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to be in “unsafe homes,” whether homeschooled or otherwise.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b/>
          <w:sz w:val="28"/>
          <w:szCs w:val="28"/>
        </w:rPr>
      </w:pPr>
      <w:r w:rsidRPr="00C74BD4">
        <w:rPr>
          <w:rFonts w:ascii="Georgia" w:hAnsi="Georgia" w:cs="Georgia"/>
          <w:b/>
          <w:sz w:val="28"/>
          <w:szCs w:val="28"/>
        </w:rPr>
        <w:t>Spotlighting “homeschooling” is unlikely to prevent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b/>
          <w:sz w:val="28"/>
          <w:szCs w:val="28"/>
        </w:rPr>
      </w:pPr>
      <w:proofErr w:type="gramStart"/>
      <w:r w:rsidRPr="00C74BD4">
        <w:rPr>
          <w:rFonts w:ascii="Georgia" w:hAnsi="Georgia" w:cs="Georgia"/>
          <w:b/>
          <w:sz w:val="28"/>
          <w:szCs w:val="28"/>
        </w:rPr>
        <w:t>abuse</w:t>
      </w:r>
      <w:proofErr w:type="gramEnd"/>
      <w:r w:rsidRPr="00C74BD4">
        <w:rPr>
          <w:rFonts w:ascii="Georgia" w:hAnsi="Georgia" w:cs="Georgia"/>
          <w:b/>
          <w:sz w:val="28"/>
          <w:szCs w:val="28"/>
        </w:rPr>
        <w:t xml:space="preserve"> or neglect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r w:rsidRPr="00C74BD4">
        <w:rPr>
          <w:rFonts w:ascii="Georgia" w:hAnsi="Georgia" w:cs="Georgia"/>
          <w:sz w:val="27"/>
          <w:szCs w:val="27"/>
        </w:rPr>
        <w:t>Matthew Tirado’s death was a terrible tragedy, and the December 2017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r w:rsidRPr="00C74BD4">
        <w:rPr>
          <w:rFonts w:ascii="Georgia" w:hAnsi="Georgia" w:cs="Georgia"/>
          <w:sz w:val="27"/>
          <w:szCs w:val="27"/>
        </w:rPr>
        <w:t>OCA report brought many details about that tragedy to light. We know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that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Matthew was the subject of multiple child welfare investigations both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before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and after he was withdrawn from school, some of which ended up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before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the juvenile court. School officials before, during, and after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r w:rsidRPr="00C74BD4">
        <w:rPr>
          <w:rFonts w:ascii="Georgia" w:hAnsi="Georgia" w:cs="Georgia"/>
          <w:sz w:val="27"/>
          <w:szCs w:val="27"/>
        </w:rPr>
        <w:t xml:space="preserve">Matthew’s </w:t>
      </w:r>
      <w:proofErr w:type="gramStart"/>
      <w:r w:rsidRPr="00C74BD4">
        <w:rPr>
          <w:rFonts w:ascii="Georgia" w:hAnsi="Georgia" w:cs="Georgia"/>
          <w:sz w:val="27"/>
          <w:szCs w:val="27"/>
        </w:rPr>
        <w:t>death were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and remain mandatory reporters, charged by law to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report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suspicions of abuse and neglect to DHS. DHS was and remains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charged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with investigating those reports. And the juvenile court was and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remains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charged with ensuring that petitions brought before it are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properly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resolved.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r w:rsidRPr="00C74BD4">
        <w:rPr>
          <w:rFonts w:ascii="Georgia" w:hAnsi="Georgia" w:cs="Georgia"/>
          <w:sz w:val="27"/>
          <w:szCs w:val="27"/>
        </w:rPr>
        <w:t>Given these facts, OCA’s initial report approached Matthew’s death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comprehensively</w:t>
      </w:r>
      <w:proofErr w:type="gramEnd"/>
      <w:r w:rsidRPr="00C74BD4">
        <w:rPr>
          <w:rFonts w:ascii="Georgia" w:hAnsi="Georgia" w:cs="Georgia"/>
          <w:sz w:val="27"/>
          <w:szCs w:val="27"/>
        </w:rPr>
        <w:t>. It referenced “homeschooling” only seven times, and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less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than six pages (out of 80) were spent on how the education system as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a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whole failed to identify Matthew Tirado as a child abuse victim. The new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report’s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subsequent emphasis on homeschooling is therefore surprising,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given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that the data fails to establish any connection between a child’s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education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setting in general—or homeschooling in particular—and the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risk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of a child to suffer abuse or neglect.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r w:rsidRPr="00C74BD4">
        <w:rPr>
          <w:rFonts w:ascii="Georgia" w:hAnsi="Georgia" w:cs="Georgia"/>
          <w:sz w:val="27"/>
          <w:szCs w:val="27"/>
        </w:rPr>
        <w:t>In 2016, the Commission to Eliminate Child Abuse and Neglect Fatalities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r w:rsidRPr="00C74BD4">
        <w:rPr>
          <w:rFonts w:ascii="Georgia" w:hAnsi="Georgia" w:cs="Georgia"/>
          <w:sz w:val="27"/>
          <w:szCs w:val="27"/>
        </w:rPr>
        <w:t>(CECANF) published a comprehensive, 168-page report. The Commission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did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not identify “homeschooling” as a risk factor for abuse or neglect. Nor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have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studies conducted by the World Health Organization, the Mayo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r w:rsidRPr="00C74BD4">
        <w:rPr>
          <w:rFonts w:ascii="Georgia" w:hAnsi="Georgia" w:cs="Georgia"/>
          <w:sz w:val="27"/>
          <w:szCs w:val="27"/>
        </w:rPr>
        <w:t xml:space="preserve">Clinic, the American Psychological </w:t>
      </w:r>
      <w:proofErr w:type="gramStart"/>
      <w:r w:rsidRPr="00C74BD4">
        <w:rPr>
          <w:rFonts w:ascii="Georgia" w:hAnsi="Georgia" w:cs="Georgia"/>
          <w:sz w:val="27"/>
          <w:szCs w:val="27"/>
        </w:rPr>
        <w:t>Association,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or the U.S. Centers for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Disease Control and Prevention.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Instead, the Commission found that 75%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of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all child fatalities involved children 3 years of age or younger, too young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to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be affected by any education law reforms.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r w:rsidRPr="00C74BD4">
        <w:rPr>
          <w:rFonts w:ascii="Georgia" w:hAnsi="Georgia" w:cs="Georgia"/>
          <w:sz w:val="27"/>
          <w:szCs w:val="27"/>
        </w:rPr>
        <w:t>HSLDA is extremely disappointed that the OCA’s report failed to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appreciate—</w:t>
      </w:r>
      <w:proofErr w:type="gramEnd"/>
      <w:r w:rsidRPr="00C74BD4">
        <w:rPr>
          <w:rFonts w:ascii="Georgia" w:hAnsi="Georgia" w:cs="Georgia"/>
          <w:sz w:val="27"/>
          <w:szCs w:val="27"/>
        </w:rPr>
        <w:t>or advise its readers—about the difference between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r w:rsidRPr="00C74BD4">
        <w:rPr>
          <w:rFonts w:ascii="Georgia" w:hAnsi="Georgia" w:cs="Georgia"/>
          <w:sz w:val="27"/>
          <w:szCs w:val="27"/>
        </w:rPr>
        <w:t>“</w:t>
      </w:r>
      <w:proofErr w:type="gramStart"/>
      <w:r w:rsidRPr="00C74BD4">
        <w:rPr>
          <w:rFonts w:ascii="Georgia" w:hAnsi="Georgia" w:cs="Georgia"/>
          <w:sz w:val="27"/>
          <w:szCs w:val="27"/>
        </w:rPr>
        <w:t>accepted</w:t>
      </w:r>
      <w:proofErr w:type="gramEnd"/>
      <w:r w:rsidRPr="00C74BD4">
        <w:rPr>
          <w:rFonts w:ascii="Georgia" w:hAnsi="Georgia" w:cs="Georgia"/>
          <w:sz w:val="27"/>
          <w:szCs w:val="27"/>
        </w:rPr>
        <w:t>” and “substantiated” reports. As a result, numerous stories on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the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report contain assertions about homeschooling families that are both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false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and inflammatory. We fully endorse the calls by other homeschool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leaders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in Connecticut for the OCA to disclose the information relied upon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in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the report, so that the record can be set straight.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r w:rsidRPr="00C74BD4">
        <w:rPr>
          <w:rFonts w:ascii="Georgia" w:hAnsi="Georgia" w:cs="Georgia"/>
          <w:sz w:val="27"/>
          <w:szCs w:val="27"/>
        </w:rPr>
        <w:t>Finally, despite the errors in the OCA’s report, we anticipate that it will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continue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to gain local and national attention in the upcoming weeks. We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are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currently working with homeschool leaders on the best strategy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moving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forward. In the interim, you can sign up for HSLDA’s free email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alert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service to get the latest information about the OCA’s report, and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don’t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forget to make sure your contact information is current with your</w:t>
      </w:r>
    </w:p>
    <w:p w:rsidR="00C74BD4" w:rsidRPr="00C74BD4" w:rsidRDefault="00C74BD4" w:rsidP="00C74BD4">
      <w:pPr>
        <w:autoSpaceDE w:val="0"/>
        <w:autoSpaceDN w:val="0"/>
        <w:adjustRightInd w:val="0"/>
        <w:spacing w:after="0" w:afterAutospacing="0"/>
        <w:rPr>
          <w:rFonts w:ascii="Georgia" w:hAnsi="Georgia" w:cs="Georgia"/>
          <w:sz w:val="27"/>
          <w:szCs w:val="27"/>
        </w:rPr>
      </w:pPr>
      <w:proofErr w:type="gramStart"/>
      <w:r w:rsidRPr="00C74BD4">
        <w:rPr>
          <w:rFonts w:ascii="Georgia" w:hAnsi="Georgia" w:cs="Georgia"/>
          <w:sz w:val="27"/>
          <w:szCs w:val="27"/>
        </w:rPr>
        <w:t>state</w:t>
      </w:r>
      <w:proofErr w:type="gramEnd"/>
      <w:r w:rsidRPr="00C74BD4">
        <w:rPr>
          <w:rFonts w:ascii="Georgia" w:hAnsi="Georgia" w:cs="Georgia"/>
          <w:sz w:val="27"/>
          <w:szCs w:val="27"/>
        </w:rPr>
        <w:t xml:space="preserve"> organization (if you’ve never joined, now is a great time to do so).</w:t>
      </w:r>
    </w:p>
    <w:p w:rsidR="00175993" w:rsidRPr="00C74BD4" w:rsidRDefault="00C74BD4" w:rsidP="00C74BD4">
      <w:r w:rsidRPr="00C74BD4">
        <w:rPr>
          <w:rFonts w:ascii="Georgia" w:hAnsi="Georgia" w:cs="Georgia"/>
          <w:sz w:val="27"/>
          <w:szCs w:val="27"/>
        </w:rPr>
        <w:t>Let’s remain bold and vigilant for the truth, and for hom</w:t>
      </w:r>
      <w:bookmarkStart w:id="0" w:name="_GoBack"/>
      <w:bookmarkEnd w:id="0"/>
      <w:r w:rsidRPr="00C74BD4">
        <w:rPr>
          <w:rFonts w:ascii="Georgia" w:hAnsi="Georgia" w:cs="Georgia"/>
          <w:sz w:val="27"/>
          <w:szCs w:val="27"/>
        </w:rPr>
        <w:t>eschool freedom</w:t>
      </w:r>
    </w:p>
    <w:sectPr w:rsidR="00175993" w:rsidRPr="00C74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D4"/>
    <w:rsid w:val="0004367A"/>
    <w:rsid w:val="00175993"/>
    <w:rsid w:val="00592FDC"/>
    <w:rsid w:val="005D7605"/>
    <w:rsid w:val="00AA13C7"/>
    <w:rsid w:val="00BC2F64"/>
    <w:rsid w:val="00C74BD4"/>
    <w:rsid w:val="00E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3C7"/>
    <w:pPr>
      <w:spacing w:after="100" w:afterAutospacing="1"/>
    </w:pPr>
  </w:style>
  <w:style w:type="paragraph" w:styleId="Heading1">
    <w:name w:val="heading 1"/>
    <w:basedOn w:val="Normal"/>
    <w:next w:val="Normal"/>
    <w:link w:val="Heading1Char"/>
    <w:qFormat/>
    <w:rsid w:val="00AA13C7"/>
    <w:pPr>
      <w:keepNext/>
      <w:pageBreakBefore/>
      <w:tabs>
        <w:tab w:val="right" w:pos="-2900"/>
        <w:tab w:val="left" w:pos="700"/>
      </w:tabs>
      <w:spacing w:before="320" w:after="16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A13C7"/>
    <w:pPr>
      <w:keepNext/>
      <w:spacing w:before="240" w:after="120"/>
      <w:outlineLvl w:val="1"/>
    </w:pPr>
    <w:rPr>
      <w:b/>
      <w:kern w:val="28"/>
      <w:sz w:val="28"/>
    </w:rPr>
  </w:style>
  <w:style w:type="paragraph" w:styleId="Heading3">
    <w:name w:val="heading 3"/>
    <w:basedOn w:val="Normal"/>
    <w:next w:val="Normal"/>
    <w:link w:val="Heading3Char"/>
    <w:qFormat/>
    <w:rsid w:val="00AA13C7"/>
    <w:pPr>
      <w:keepNext/>
      <w:spacing w:before="160" w:after="120"/>
      <w:outlineLvl w:val="2"/>
    </w:pPr>
    <w:rPr>
      <w:rFonts w:cs="Arial"/>
      <w:b/>
      <w:kern w:val="22"/>
    </w:rPr>
  </w:style>
  <w:style w:type="paragraph" w:styleId="Heading4">
    <w:name w:val="heading 4"/>
    <w:basedOn w:val="Normal"/>
    <w:next w:val="Normal"/>
    <w:link w:val="Heading4Char"/>
    <w:qFormat/>
    <w:rsid w:val="00AA13C7"/>
    <w:pPr>
      <w:keepNext/>
      <w:tabs>
        <w:tab w:val="right" w:pos="-2800"/>
      </w:tabs>
      <w:spacing w:before="240" w:after="60"/>
      <w:outlineLvl w:val="3"/>
    </w:pPr>
    <w:rPr>
      <w:b/>
      <w:kern w:val="22"/>
    </w:rPr>
  </w:style>
  <w:style w:type="paragraph" w:styleId="Heading5">
    <w:name w:val="heading 5"/>
    <w:basedOn w:val="Normal"/>
    <w:next w:val="Normal"/>
    <w:link w:val="Heading5Char"/>
    <w:qFormat/>
    <w:rsid w:val="00AA13C7"/>
    <w:pPr>
      <w:spacing w:before="240" w:after="60"/>
      <w:outlineLvl w:val="4"/>
    </w:pPr>
    <w:rPr>
      <w:b/>
      <w:snapToGrid w:val="0"/>
      <w:kern w:val="22"/>
    </w:rPr>
  </w:style>
  <w:style w:type="paragraph" w:styleId="Heading6">
    <w:name w:val="heading 6"/>
    <w:basedOn w:val="Normal"/>
    <w:next w:val="Normal"/>
    <w:link w:val="Heading6Char"/>
    <w:qFormat/>
    <w:rsid w:val="00AA13C7"/>
    <w:pPr>
      <w:spacing w:before="240" w:after="60"/>
      <w:outlineLvl w:val="5"/>
    </w:pPr>
    <w:rPr>
      <w:i/>
      <w:kern w:val="22"/>
      <w:sz w:val="18"/>
    </w:rPr>
  </w:style>
  <w:style w:type="paragraph" w:styleId="Heading7">
    <w:name w:val="heading 7"/>
    <w:basedOn w:val="Normal"/>
    <w:next w:val="Normal"/>
    <w:link w:val="Heading7Char"/>
    <w:qFormat/>
    <w:rsid w:val="00AA13C7"/>
    <w:pPr>
      <w:spacing w:before="240" w:after="60"/>
      <w:outlineLvl w:val="6"/>
    </w:pPr>
    <w:rPr>
      <w:kern w:val="22"/>
      <w:sz w:val="18"/>
    </w:rPr>
  </w:style>
  <w:style w:type="paragraph" w:styleId="Heading8">
    <w:name w:val="heading 8"/>
    <w:basedOn w:val="Normal"/>
    <w:next w:val="Normal"/>
    <w:link w:val="Heading8Char"/>
    <w:qFormat/>
    <w:rsid w:val="00AA13C7"/>
    <w:pPr>
      <w:spacing w:before="240" w:after="60"/>
      <w:outlineLvl w:val="7"/>
    </w:pPr>
    <w:rPr>
      <w:i/>
      <w:kern w:val="22"/>
      <w:sz w:val="18"/>
    </w:rPr>
  </w:style>
  <w:style w:type="paragraph" w:styleId="Heading9">
    <w:name w:val="heading 9"/>
    <w:basedOn w:val="Normal"/>
    <w:next w:val="Normal"/>
    <w:link w:val="Heading9Char"/>
    <w:qFormat/>
    <w:rsid w:val="00AA13C7"/>
    <w:pPr>
      <w:spacing w:before="240" w:after="60"/>
      <w:outlineLvl w:val="8"/>
    </w:pPr>
    <w:rPr>
      <w:rFonts w:ascii="Arial" w:hAnsi="Arial"/>
      <w:b/>
      <w:i/>
      <w:kern w:val="2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2F64"/>
    <w:rPr>
      <w:rFonts w:ascii="Garamond" w:hAnsi="Garamond"/>
      <w:b/>
      <w:sz w:val="3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BC2F64"/>
    <w:rPr>
      <w:rFonts w:ascii="Garamond" w:hAnsi="Garamond"/>
      <w:b/>
      <w:kern w:val="28"/>
      <w:sz w:val="28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BC2F64"/>
    <w:rPr>
      <w:rFonts w:ascii="Garamond" w:hAnsi="Garamond" w:cs="Arial"/>
      <w:b/>
      <w:kern w:val="22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BC2F64"/>
    <w:rPr>
      <w:rFonts w:ascii="Garamond" w:hAnsi="Garamond"/>
      <w:b/>
      <w:kern w:val="22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BC2F64"/>
    <w:rPr>
      <w:rFonts w:ascii="Garamond" w:hAnsi="Garamond"/>
      <w:b/>
      <w:snapToGrid w:val="0"/>
      <w:kern w:val="22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BC2F64"/>
    <w:rPr>
      <w:rFonts w:ascii="Garamond" w:hAnsi="Garamond"/>
      <w:i/>
      <w:kern w:val="22"/>
      <w:sz w:val="1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BC2F64"/>
    <w:rPr>
      <w:rFonts w:ascii="Garamond" w:hAnsi="Garamond"/>
      <w:kern w:val="22"/>
      <w:sz w:val="1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BC2F64"/>
    <w:rPr>
      <w:rFonts w:ascii="Garamond" w:hAnsi="Garamond"/>
      <w:i/>
      <w:kern w:val="22"/>
      <w:sz w:val="18"/>
      <w:szCs w:val="22"/>
      <w:lang w:eastAsia="en-US"/>
    </w:rPr>
  </w:style>
  <w:style w:type="character" w:customStyle="1" w:styleId="Heading9Char">
    <w:name w:val="Heading 9 Char"/>
    <w:basedOn w:val="DefaultParagraphFont"/>
    <w:link w:val="Heading9"/>
    <w:rsid w:val="00BC2F64"/>
    <w:rPr>
      <w:rFonts w:ascii="Arial" w:hAnsi="Arial"/>
      <w:b/>
      <w:i/>
      <w:kern w:val="22"/>
      <w:sz w:val="18"/>
      <w:szCs w:val="22"/>
      <w:lang w:eastAsia="en-US"/>
    </w:rPr>
  </w:style>
  <w:style w:type="paragraph" w:styleId="Caption">
    <w:name w:val="caption"/>
    <w:basedOn w:val="Normal"/>
    <w:next w:val="Normal"/>
    <w:link w:val="CaptionChar"/>
    <w:qFormat/>
    <w:rsid w:val="00AA13C7"/>
    <w:pPr>
      <w:spacing w:before="120" w:after="120"/>
    </w:pPr>
    <w:rPr>
      <w:b/>
      <w:bCs/>
      <w:sz w:val="18"/>
    </w:rPr>
  </w:style>
  <w:style w:type="paragraph" w:styleId="Title">
    <w:name w:val="Title"/>
    <w:basedOn w:val="Normal"/>
    <w:link w:val="TitleChar"/>
    <w:uiPriority w:val="10"/>
    <w:qFormat/>
    <w:rsid w:val="00AA13C7"/>
    <w:pPr>
      <w:spacing w:before="240" w:after="60"/>
      <w:jc w:val="center"/>
    </w:pPr>
    <w:rPr>
      <w:rFonts w:cs="Arial"/>
      <w:b/>
      <w:bCs/>
      <w:kern w:val="28"/>
      <w:sz w:val="24"/>
      <w:szCs w:val="32"/>
    </w:rPr>
  </w:style>
  <w:style w:type="character" w:customStyle="1" w:styleId="TitleChar">
    <w:name w:val="Title Char"/>
    <w:link w:val="Title"/>
    <w:uiPriority w:val="10"/>
    <w:rsid w:val="00AA13C7"/>
    <w:rPr>
      <w:rFonts w:ascii="Garamond" w:hAnsi="Garamond" w:cs="Arial"/>
      <w:b/>
      <w:bCs/>
      <w:kern w:val="28"/>
      <w:sz w:val="24"/>
      <w:szCs w:val="32"/>
    </w:rPr>
  </w:style>
  <w:style w:type="paragraph" w:styleId="Subtitle">
    <w:name w:val="Subtitle"/>
    <w:basedOn w:val="Normal"/>
    <w:link w:val="SubtitleChar"/>
    <w:uiPriority w:val="11"/>
    <w:qFormat/>
    <w:rsid w:val="00AA13C7"/>
    <w:pPr>
      <w:spacing w:after="60"/>
      <w:jc w:val="center"/>
    </w:pPr>
    <w:rPr>
      <w:rFonts w:cs="Arial"/>
      <w:szCs w:val="24"/>
    </w:rPr>
  </w:style>
  <w:style w:type="character" w:customStyle="1" w:styleId="SubtitleChar">
    <w:name w:val="Subtitle Char"/>
    <w:link w:val="Subtitle"/>
    <w:uiPriority w:val="11"/>
    <w:rsid w:val="00AA13C7"/>
    <w:rPr>
      <w:rFonts w:ascii="Garamond" w:hAnsi="Garamond" w:cs="Arial"/>
      <w:sz w:val="22"/>
      <w:szCs w:val="24"/>
    </w:rPr>
  </w:style>
  <w:style w:type="paragraph" w:styleId="NoSpacing">
    <w:name w:val="No Spacing"/>
    <w:link w:val="NoSpacingChar"/>
    <w:uiPriority w:val="1"/>
    <w:qFormat/>
    <w:rsid w:val="00AA13C7"/>
    <w:rPr>
      <w:rFonts w:eastAsia="Calibri"/>
    </w:rPr>
  </w:style>
  <w:style w:type="character" w:customStyle="1" w:styleId="NoSpacingChar">
    <w:name w:val="No Spacing Char"/>
    <w:link w:val="NoSpacing"/>
    <w:uiPriority w:val="1"/>
    <w:rsid w:val="00AA13C7"/>
    <w:rPr>
      <w:rFonts w:ascii="Calibri" w:eastAsia="Calibri" w:hAnsi="Calibri"/>
      <w:sz w:val="22"/>
      <w:szCs w:val="22"/>
    </w:rPr>
  </w:style>
  <w:style w:type="paragraph" w:customStyle="1" w:styleId="Calibri">
    <w:name w:val="Calibri"/>
    <w:basedOn w:val="Caption"/>
    <w:link w:val="CalibriChar"/>
    <w:qFormat/>
    <w:rsid w:val="00AA13C7"/>
    <w:rPr>
      <w:rFonts w:asciiTheme="minorHAnsi" w:hAnsiTheme="minorHAnsi"/>
    </w:rPr>
  </w:style>
  <w:style w:type="character" w:customStyle="1" w:styleId="CalibriChar">
    <w:name w:val="Calibri Char"/>
    <w:basedOn w:val="CaptionChar"/>
    <w:link w:val="Calibri"/>
    <w:rsid w:val="00AA13C7"/>
    <w:rPr>
      <w:rFonts w:asciiTheme="minorHAnsi" w:hAnsiTheme="minorHAnsi"/>
      <w:b/>
      <w:bCs/>
      <w:sz w:val="18"/>
      <w:szCs w:val="22"/>
      <w:lang w:eastAsia="en-US"/>
    </w:rPr>
  </w:style>
  <w:style w:type="paragraph" w:styleId="TOC1">
    <w:name w:val="toc 1"/>
    <w:basedOn w:val="Normal"/>
    <w:next w:val="Normal"/>
    <w:uiPriority w:val="39"/>
    <w:semiHidden/>
    <w:qFormat/>
    <w:rsid w:val="00AA13C7"/>
    <w:pPr>
      <w:tabs>
        <w:tab w:val="left" w:pos="400"/>
        <w:tab w:val="right" w:leader="dot" w:pos="9360"/>
      </w:tabs>
      <w:spacing w:before="120" w:after="120"/>
    </w:pPr>
    <w:rPr>
      <w:rFonts w:cs="Arial"/>
      <w:b/>
      <w:noProof/>
      <w:szCs w:val="32"/>
    </w:rPr>
  </w:style>
  <w:style w:type="paragraph" w:styleId="TOC2">
    <w:name w:val="toc 2"/>
    <w:basedOn w:val="Normal"/>
    <w:next w:val="Normal"/>
    <w:uiPriority w:val="39"/>
    <w:semiHidden/>
    <w:qFormat/>
    <w:rsid w:val="00AA13C7"/>
    <w:pPr>
      <w:tabs>
        <w:tab w:val="left" w:leader="dot" w:pos="200"/>
        <w:tab w:val="right" w:leader="dot" w:pos="9360"/>
      </w:tabs>
      <w:ind w:left="200"/>
    </w:pPr>
    <w:rPr>
      <w:smallCaps/>
    </w:rPr>
  </w:style>
  <w:style w:type="paragraph" w:styleId="TOC3">
    <w:name w:val="toc 3"/>
    <w:basedOn w:val="Normal"/>
    <w:next w:val="Normal"/>
    <w:uiPriority w:val="39"/>
    <w:semiHidden/>
    <w:qFormat/>
    <w:rsid w:val="00AA13C7"/>
    <w:pPr>
      <w:tabs>
        <w:tab w:val="left" w:pos="1200"/>
        <w:tab w:val="right" w:leader="dot" w:pos="9360"/>
      </w:tabs>
      <w:ind w:left="400"/>
    </w:pPr>
    <w:rPr>
      <w:i/>
      <w:noProof/>
    </w:rPr>
  </w:style>
  <w:style w:type="character" w:customStyle="1" w:styleId="CaptionChar">
    <w:name w:val="Caption Char"/>
    <w:basedOn w:val="DefaultParagraphFont"/>
    <w:link w:val="Caption"/>
    <w:rsid w:val="00AA13C7"/>
    <w:rPr>
      <w:rFonts w:ascii="Garamond" w:hAnsi="Garamond"/>
      <w:b/>
      <w:bCs/>
      <w:sz w:val="18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13C7"/>
    <w:pPr>
      <w:keepLines/>
      <w:pageBreakBefore w:val="0"/>
      <w:tabs>
        <w:tab w:val="clear" w:pos="-2900"/>
        <w:tab w:val="clear" w:pos="700"/>
      </w:tabs>
      <w:spacing w:before="480" w:after="0" w:afterAutospacing="0" w:line="276" w:lineRule="auto"/>
      <w:outlineLvl w:val="9"/>
    </w:pPr>
    <w:rPr>
      <w:rFonts w:ascii="Cambria" w:eastAsia="MS Gothic" w:hAnsi="Cambria"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3C7"/>
    <w:pPr>
      <w:spacing w:after="100" w:afterAutospacing="1"/>
    </w:pPr>
  </w:style>
  <w:style w:type="paragraph" w:styleId="Heading1">
    <w:name w:val="heading 1"/>
    <w:basedOn w:val="Normal"/>
    <w:next w:val="Normal"/>
    <w:link w:val="Heading1Char"/>
    <w:qFormat/>
    <w:rsid w:val="00AA13C7"/>
    <w:pPr>
      <w:keepNext/>
      <w:pageBreakBefore/>
      <w:tabs>
        <w:tab w:val="right" w:pos="-2900"/>
        <w:tab w:val="left" w:pos="700"/>
      </w:tabs>
      <w:spacing w:before="320" w:after="16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A13C7"/>
    <w:pPr>
      <w:keepNext/>
      <w:spacing w:before="240" w:after="120"/>
      <w:outlineLvl w:val="1"/>
    </w:pPr>
    <w:rPr>
      <w:b/>
      <w:kern w:val="28"/>
      <w:sz w:val="28"/>
    </w:rPr>
  </w:style>
  <w:style w:type="paragraph" w:styleId="Heading3">
    <w:name w:val="heading 3"/>
    <w:basedOn w:val="Normal"/>
    <w:next w:val="Normal"/>
    <w:link w:val="Heading3Char"/>
    <w:qFormat/>
    <w:rsid w:val="00AA13C7"/>
    <w:pPr>
      <w:keepNext/>
      <w:spacing w:before="160" w:after="120"/>
      <w:outlineLvl w:val="2"/>
    </w:pPr>
    <w:rPr>
      <w:rFonts w:cs="Arial"/>
      <w:b/>
      <w:kern w:val="22"/>
    </w:rPr>
  </w:style>
  <w:style w:type="paragraph" w:styleId="Heading4">
    <w:name w:val="heading 4"/>
    <w:basedOn w:val="Normal"/>
    <w:next w:val="Normal"/>
    <w:link w:val="Heading4Char"/>
    <w:qFormat/>
    <w:rsid w:val="00AA13C7"/>
    <w:pPr>
      <w:keepNext/>
      <w:tabs>
        <w:tab w:val="right" w:pos="-2800"/>
      </w:tabs>
      <w:spacing w:before="240" w:after="60"/>
      <w:outlineLvl w:val="3"/>
    </w:pPr>
    <w:rPr>
      <w:b/>
      <w:kern w:val="22"/>
    </w:rPr>
  </w:style>
  <w:style w:type="paragraph" w:styleId="Heading5">
    <w:name w:val="heading 5"/>
    <w:basedOn w:val="Normal"/>
    <w:next w:val="Normal"/>
    <w:link w:val="Heading5Char"/>
    <w:qFormat/>
    <w:rsid w:val="00AA13C7"/>
    <w:pPr>
      <w:spacing w:before="240" w:after="60"/>
      <w:outlineLvl w:val="4"/>
    </w:pPr>
    <w:rPr>
      <w:b/>
      <w:snapToGrid w:val="0"/>
      <w:kern w:val="22"/>
    </w:rPr>
  </w:style>
  <w:style w:type="paragraph" w:styleId="Heading6">
    <w:name w:val="heading 6"/>
    <w:basedOn w:val="Normal"/>
    <w:next w:val="Normal"/>
    <w:link w:val="Heading6Char"/>
    <w:qFormat/>
    <w:rsid w:val="00AA13C7"/>
    <w:pPr>
      <w:spacing w:before="240" w:after="60"/>
      <w:outlineLvl w:val="5"/>
    </w:pPr>
    <w:rPr>
      <w:i/>
      <w:kern w:val="22"/>
      <w:sz w:val="18"/>
    </w:rPr>
  </w:style>
  <w:style w:type="paragraph" w:styleId="Heading7">
    <w:name w:val="heading 7"/>
    <w:basedOn w:val="Normal"/>
    <w:next w:val="Normal"/>
    <w:link w:val="Heading7Char"/>
    <w:qFormat/>
    <w:rsid w:val="00AA13C7"/>
    <w:pPr>
      <w:spacing w:before="240" w:after="60"/>
      <w:outlineLvl w:val="6"/>
    </w:pPr>
    <w:rPr>
      <w:kern w:val="22"/>
      <w:sz w:val="18"/>
    </w:rPr>
  </w:style>
  <w:style w:type="paragraph" w:styleId="Heading8">
    <w:name w:val="heading 8"/>
    <w:basedOn w:val="Normal"/>
    <w:next w:val="Normal"/>
    <w:link w:val="Heading8Char"/>
    <w:qFormat/>
    <w:rsid w:val="00AA13C7"/>
    <w:pPr>
      <w:spacing w:before="240" w:after="60"/>
      <w:outlineLvl w:val="7"/>
    </w:pPr>
    <w:rPr>
      <w:i/>
      <w:kern w:val="22"/>
      <w:sz w:val="18"/>
    </w:rPr>
  </w:style>
  <w:style w:type="paragraph" w:styleId="Heading9">
    <w:name w:val="heading 9"/>
    <w:basedOn w:val="Normal"/>
    <w:next w:val="Normal"/>
    <w:link w:val="Heading9Char"/>
    <w:qFormat/>
    <w:rsid w:val="00AA13C7"/>
    <w:pPr>
      <w:spacing w:before="240" w:after="60"/>
      <w:outlineLvl w:val="8"/>
    </w:pPr>
    <w:rPr>
      <w:rFonts w:ascii="Arial" w:hAnsi="Arial"/>
      <w:b/>
      <w:i/>
      <w:kern w:val="2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2F64"/>
    <w:rPr>
      <w:rFonts w:ascii="Garamond" w:hAnsi="Garamond"/>
      <w:b/>
      <w:sz w:val="3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BC2F64"/>
    <w:rPr>
      <w:rFonts w:ascii="Garamond" w:hAnsi="Garamond"/>
      <w:b/>
      <w:kern w:val="28"/>
      <w:sz w:val="28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BC2F64"/>
    <w:rPr>
      <w:rFonts w:ascii="Garamond" w:hAnsi="Garamond" w:cs="Arial"/>
      <w:b/>
      <w:kern w:val="22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BC2F64"/>
    <w:rPr>
      <w:rFonts w:ascii="Garamond" w:hAnsi="Garamond"/>
      <w:b/>
      <w:kern w:val="22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BC2F64"/>
    <w:rPr>
      <w:rFonts w:ascii="Garamond" w:hAnsi="Garamond"/>
      <w:b/>
      <w:snapToGrid w:val="0"/>
      <w:kern w:val="22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BC2F64"/>
    <w:rPr>
      <w:rFonts w:ascii="Garamond" w:hAnsi="Garamond"/>
      <w:i/>
      <w:kern w:val="22"/>
      <w:sz w:val="1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BC2F64"/>
    <w:rPr>
      <w:rFonts w:ascii="Garamond" w:hAnsi="Garamond"/>
      <w:kern w:val="22"/>
      <w:sz w:val="1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BC2F64"/>
    <w:rPr>
      <w:rFonts w:ascii="Garamond" w:hAnsi="Garamond"/>
      <w:i/>
      <w:kern w:val="22"/>
      <w:sz w:val="18"/>
      <w:szCs w:val="22"/>
      <w:lang w:eastAsia="en-US"/>
    </w:rPr>
  </w:style>
  <w:style w:type="character" w:customStyle="1" w:styleId="Heading9Char">
    <w:name w:val="Heading 9 Char"/>
    <w:basedOn w:val="DefaultParagraphFont"/>
    <w:link w:val="Heading9"/>
    <w:rsid w:val="00BC2F64"/>
    <w:rPr>
      <w:rFonts w:ascii="Arial" w:hAnsi="Arial"/>
      <w:b/>
      <w:i/>
      <w:kern w:val="22"/>
      <w:sz w:val="18"/>
      <w:szCs w:val="22"/>
      <w:lang w:eastAsia="en-US"/>
    </w:rPr>
  </w:style>
  <w:style w:type="paragraph" w:styleId="Caption">
    <w:name w:val="caption"/>
    <w:basedOn w:val="Normal"/>
    <w:next w:val="Normal"/>
    <w:link w:val="CaptionChar"/>
    <w:qFormat/>
    <w:rsid w:val="00AA13C7"/>
    <w:pPr>
      <w:spacing w:before="120" w:after="120"/>
    </w:pPr>
    <w:rPr>
      <w:b/>
      <w:bCs/>
      <w:sz w:val="18"/>
    </w:rPr>
  </w:style>
  <w:style w:type="paragraph" w:styleId="Title">
    <w:name w:val="Title"/>
    <w:basedOn w:val="Normal"/>
    <w:link w:val="TitleChar"/>
    <w:uiPriority w:val="10"/>
    <w:qFormat/>
    <w:rsid w:val="00AA13C7"/>
    <w:pPr>
      <w:spacing w:before="240" w:after="60"/>
      <w:jc w:val="center"/>
    </w:pPr>
    <w:rPr>
      <w:rFonts w:cs="Arial"/>
      <w:b/>
      <w:bCs/>
      <w:kern w:val="28"/>
      <w:sz w:val="24"/>
      <w:szCs w:val="32"/>
    </w:rPr>
  </w:style>
  <w:style w:type="character" w:customStyle="1" w:styleId="TitleChar">
    <w:name w:val="Title Char"/>
    <w:link w:val="Title"/>
    <w:uiPriority w:val="10"/>
    <w:rsid w:val="00AA13C7"/>
    <w:rPr>
      <w:rFonts w:ascii="Garamond" w:hAnsi="Garamond" w:cs="Arial"/>
      <w:b/>
      <w:bCs/>
      <w:kern w:val="28"/>
      <w:sz w:val="24"/>
      <w:szCs w:val="32"/>
    </w:rPr>
  </w:style>
  <w:style w:type="paragraph" w:styleId="Subtitle">
    <w:name w:val="Subtitle"/>
    <w:basedOn w:val="Normal"/>
    <w:link w:val="SubtitleChar"/>
    <w:uiPriority w:val="11"/>
    <w:qFormat/>
    <w:rsid w:val="00AA13C7"/>
    <w:pPr>
      <w:spacing w:after="60"/>
      <w:jc w:val="center"/>
    </w:pPr>
    <w:rPr>
      <w:rFonts w:cs="Arial"/>
      <w:szCs w:val="24"/>
    </w:rPr>
  </w:style>
  <w:style w:type="character" w:customStyle="1" w:styleId="SubtitleChar">
    <w:name w:val="Subtitle Char"/>
    <w:link w:val="Subtitle"/>
    <w:uiPriority w:val="11"/>
    <w:rsid w:val="00AA13C7"/>
    <w:rPr>
      <w:rFonts w:ascii="Garamond" w:hAnsi="Garamond" w:cs="Arial"/>
      <w:sz w:val="22"/>
      <w:szCs w:val="24"/>
    </w:rPr>
  </w:style>
  <w:style w:type="paragraph" w:styleId="NoSpacing">
    <w:name w:val="No Spacing"/>
    <w:link w:val="NoSpacingChar"/>
    <w:uiPriority w:val="1"/>
    <w:qFormat/>
    <w:rsid w:val="00AA13C7"/>
    <w:rPr>
      <w:rFonts w:eastAsia="Calibri"/>
    </w:rPr>
  </w:style>
  <w:style w:type="character" w:customStyle="1" w:styleId="NoSpacingChar">
    <w:name w:val="No Spacing Char"/>
    <w:link w:val="NoSpacing"/>
    <w:uiPriority w:val="1"/>
    <w:rsid w:val="00AA13C7"/>
    <w:rPr>
      <w:rFonts w:ascii="Calibri" w:eastAsia="Calibri" w:hAnsi="Calibri"/>
      <w:sz w:val="22"/>
      <w:szCs w:val="22"/>
    </w:rPr>
  </w:style>
  <w:style w:type="paragraph" w:customStyle="1" w:styleId="Calibri">
    <w:name w:val="Calibri"/>
    <w:basedOn w:val="Caption"/>
    <w:link w:val="CalibriChar"/>
    <w:qFormat/>
    <w:rsid w:val="00AA13C7"/>
    <w:rPr>
      <w:rFonts w:asciiTheme="minorHAnsi" w:hAnsiTheme="minorHAnsi"/>
    </w:rPr>
  </w:style>
  <w:style w:type="character" w:customStyle="1" w:styleId="CalibriChar">
    <w:name w:val="Calibri Char"/>
    <w:basedOn w:val="CaptionChar"/>
    <w:link w:val="Calibri"/>
    <w:rsid w:val="00AA13C7"/>
    <w:rPr>
      <w:rFonts w:asciiTheme="minorHAnsi" w:hAnsiTheme="minorHAnsi"/>
      <w:b/>
      <w:bCs/>
      <w:sz w:val="18"/>
      <w:szCs w:val="22"/>
      <w:lang w:eastAsia="en-US"/>
    </w:rPr>
  </w:style>
  <w:style w:type="paragraph" w:styleId="TOC1">
    <w:name w:val="toc 1"/>
    <w:basedOn w:val="Normal"/>
    <w:next w:val="Normal"/>
    <w:uiPriority w:val="39"/>
    <w:semiHidden/>
    <w:qFormat/>
    <w:rsid w:val="00AA13C7"/>
    <w:pPr>
      <w:tabs>
        <w:tab w:val="left" w:pos="400"/>
        <w:tab w:val="right" w:leader="dot" w:pos="9360"/>
      </w:tabs>
      <w:spacing w:before="120" w:after="120"/>
    </w:pPr>
    <w:rPr>
      <w:rFonts w:cs="Arial"/>
      <w:b/>
      <w:noProof/>
      <w:szCs w:val="32"/>
    </w:rPr>
  </w:style>
  <w:style w:type="paragraph" w:styleId="TOC2">
    <w:name w:val="toc 2"/>
    <w:basedOn w:val="Normal"/>
    <w:next w:val="Normal"/>
    <w:uiPriority w:val="39"/>
    <w:semiHidden/>
    <w:qFormat/>
    <w:rsid w:val="00AA13C7"/>
    <w:pPr>
      <w:tabs>
        <w:tab w:val="left" w:leader="dot" w:pos="200"/>
        <w:tab w:val="right" w:leader="dot" w:pos="9360"/>
      </w:tabs>
      <w:ind w:left="200"/>
    </w:pPr>
    <w:rPr>
      <w:smallCaps/>
    </w:rPr>
  </w:style>
  <w:style w:type="paragraph" w:styleId="TOC3">
    <w:name w:val="toc 3"/>
    <w:basedOn w:val="Normal"/>
    <w:next w:val="Normal"/>
    <w:uiPriority w:val="39"/>
    <w:semiHidden/>
    <w:qFormat/>
    <w:rsid w:val="00AA13C7"/>
    <w:pPr>
      <w:tabs>
        <w:tab w:val="left" w:pos="1200"/>
        <w:tab w:val="right" w:leader="dot" w:pos="9360"/>
      </w:tabs>
      <w:ind w:left="400"/>
    </w:pPr>
    <w:rPr>
      <w:i/>
      <w:noProof/>
    </w:rPr>
  </w:style>
  <w:style w:type="character" w:customStyle="1" w:styleId="CaptionChar">
    <w:name w:val="Caption Char"/>
    <w:basedOn w:val="DefaultParagraphFont"/>
    <w:link w:val="Caption"/>
    <w:rsid w:val="00AA13C7"/>
    <w:rPr>
      <w:rFonts w:ascii="Garamond" w:hAnsi="Garamond"/>
      <w:b/>
      <w:bCs/>
      <w:sz w:val="18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13C7"/>
    <w:pPr>
      <w:keepLines/>
      <w:pageBreakBefore w:val="0"/>
      <w:tabs>
        <w:tab w:val="clear" w:pos="-2900"/>
        <w:tab w:val="clear" w:pos="700"/>
      </w:tabs>
      <w:spacing w:before="480" w:after="0" w:afterAutospacing="0" w:line="276" w:lineRule="auto"/>
      <w:outlineLvl w:val="9"/>
    </w:pPr>
    <w:rPr>
      <w:rFonts w:ascii="Cambria" w:eastAsia="MS Gothic" w:hAnsi="Cambria"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1</cp:revision>
  <dcterms:created xsi:type="dcterms:W3CDTF">2018-06-07T13:17:00Z</dcterms:created>
  <dcterms:modified xsi:type="dcterms:W3CDTF">2018-06-07T13:20:00Z</dcterms:modified>
</cp:coreProperties>
</file>